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905D" w14:textId="77777777" w:rsidR="009B77C6" w:rsidRDefault="009B77C6">
      <w:pPr>
        <w:pStyle w:val="Heading2"/>
      </w:pPr>
    </w:p>
    <w:p w14:paraId="17142BE8" w14:textId="77777777" w:rsidR="00BE55FD" w:rsidRDefault="00BE55FD">
      <w:pPr>
        <w:pStyle w:val="Heading2"/>
        <w:rPr>
          <w:color w:val="EE0000"/>
        </w:rPr>
      </w:pPr>
      <w:r w:rsidRPr="007E5AC3">
        <w:rPr>
          <w:color w:val="EE0000"/>
        </w:rPr>
        <w:drawing>
          <wp:inline distT="0" distB="0" distL="0" distR="0" wp14:anchorId="12C18A2F" wp14:editId="25DEE892">
            <wp:extent cx="2444876" cy="2095608"/>
            <wp:effectExtent l="0" t="0" r="0" b="0"/>
            <wp:docPr id="1435527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5273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4876" cy="2095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51C13" w14:textId="7BE52211" w:rsidR="009B77C6" w:rsidRPr="009B77C6" w:rsidRDefault="009B77C6">
      <w:pPr>
        <w:pStyle w:val="Heading2"/>
        <w:rPr>
          <w:color w:val="EE0000"/>
        </w:rPr>
      </w:pPr>
      <w:r>
        <w:rPr>
          <w:color w:val="EE0000"/>
        </w:rPr>
        <w:t xml:space="preserve"> </w:t>
      </w:r>
      <w:r w:rsidRPr="00BE55FD">
        <w:rPr>
          <w:color w:val="0070C0"/>
        </w:rPr>
        <w:t>CRIBSHEET</w:t>
      </w:r>
    </w:p>
    <w:p w14:paraId="6D0C2C7E" w14:textId="7B48417C" w:rsidR="00C36E88" w:rsidRDefault="00CA6067">
      <w:pPr>
        <w:pStyle w:val="Heading2"/>
      </w:pPr>
      <w:r>
        <w:t>Invoice Address</w:t>
      </w:r>
    </w:p>
    <w:tbl>
      <w:tblPr>
        <w:tblStyle w:val="TableGrid"/>
        <w:tblW w:w="10299" w:type="dxa"/>
        <w:tblLook w:val="04A0" w:firstRow="1" w:lastRow="0" w:firstColumn="1" w:lastColumn="0" w:noHBand="0" w:noVBand="1"/>
      </w:tblPr>
      <w:tblGrid>
        <w:gridCol w:w="10299"/>
      </w:tblGrid>
      <w:tr w:rsidR="00C36E88" w14:paraId="1E630693" w14:textId="77777777" w:rsidTr="00BE55FD">
        <w:trPr>
          <w:trHeight w:val="249"/>
        </w:trPr>
        <w:tc>
          <w:tcPr>
            <w:tcW w:w="10299" w:type="dxa"/>
          </w:tcPr>
          <w:p w14:paraId="0713D1C4" w14:textId="7B8C3FFC" w:rsidR="00C36E88" w:rsidRDefault="00CA6067">
            <w:r>
              <w:t>Invoice Address</w:t>
            </w:r>
            <w:r w:rsidR="00BE55FD">
              <w:t>: De Lage Landen Leasing Limited.</w:t>
            </w:r>
          </w:p>
        </w:tc>
      </w:tr>
      <w:tr w:rsidR="00C36E88" w14:paraId="1272D06F" w14:textId="77777777" w:rsidTr="00BE55FD">
        <w:trPr>
          <w:trHeight w:val="249"/>
        </w:trPr>
        <w:tc>
          <w:tcPr>
            <w:tcW w:w="10299" w:type="dxa"/>
          </w:tcPr>
          <w:p w14:paraId="57FFFBFC" w14:textId="287290DA" w:rsidR="00C36E88" w:rsidRDefault="00BE55FD">
            <w:r>
              <w:t>2</w:t>
            </w:r>
            <w:r w:rsidRPr="00BE55FD">
              <w:rPr>
                <w:vertAlign w:val="superscript"/>
              </w:rPr>
              <w:t>nd</w:t>
            </w:r>
            <w:r>
              <w:t xml:space="preserve"> Floor, Building 1 Marlins Meadow. Croxley Park, Watford WD18 8YA</w:t>
            </w:r>
          </w:p>
        </w:tc>
      </w:tr>
    </w:tbl>
    <w:p w14:paraId="59B2FCA7" w14:textId="228CF061" w:rsidR="00C36E88" w:rsidRDefault="00BE55FD">
      <w:pPr>
        <w:pStyle w:val="Heading2"/>
      </w:pPr>
      <w:r>
        <w:t>Account Manager</w:t>
      </w:r>
    </w:p>
    <w:tbl>
      <w:tblPr>
        <w:tblStyle w:val="TableGrid"/>
        <w:tblW w:w="10295" w:type="dxa"/>
        <w:tblLook w:val="04A0" w:firstRow="1" w:lastRow="0" w:firstColumn="1" w:lastColumn="0" w:noHBand="0" w:noVBand="1"/>
      </w:tblPr>
      <w:tblGrid>
        <w:gridCol w:w="3366"/>
        <w:gridCol w:w="3366"/>
        <w:gridCol w:w="3563"/>
      </w:tblGrid>
      <w:tr w:rsidR="00C36E88" w14:paraId="1397FD9C" w14:textId="77777777" w:rsidTr="00BE55FD">
        <w:trPr>
          <w:trHeight w:val="249"/>
        </w:trPr>
        <w:tc>
          <w:tcPr>
            <w:tcW w:w="3366" w:type="dxa"/>
          </w:tcPr>
          <w:p w14:paraId="429373B3" w14:textId="5AE6E08C" w:rsidR="00C36E88" w:rsidRDefault="00BE55FD">
            <w:r>
              <w:t>Account Manager</w:t>
            </w:r>
          </w:p>
        </w:tc>
        <w:tc>
          <w:tcPr>
            <w:tcW w:w="3366" w:type="dxa"/>
          </w:tcPr>
          <w:p w14:paraId="2DCA7C7C" w14:textId="77777777" w:rsidR="00C36E88" w:rsidRDefault="00CA6067">
            <w:r>
              <w:rPr>
                <w:sz w:val="20"/>
              </w:rPr>
              <w:t>Contact Number</w:t>
            </w:r>
          </w:p>
        </w:tc>
        <w:tc>
          <w:tcPr>
            <w:tcW w:w="3563" w:type="dxa"/>
          </w:tcPr>
          <w:p w14:paraId="4C166E73" w14:textId="77777777" w:rsidR="00C36E88" w:rsidRDefault="00CA6067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 w:rsidTr="00BE55FD">
        <w:trPr>
          <w:trHeight w:val="249"/>
        </w:trPr>
        <w:tc>
          <w:tcPr>
            <w:tcW w:w="3366" w:type="dxa"/>
          </w:tcPr>
          <w:p w14:paraId="48E8F641" w14:textId="0AE496FE" w:rsidR="00C36E88" w:rsidRDefault="00BE55FD">
            <w:r>
              <w:t>Charlotte Rider</w:t>
            </w:r>
          </w:p>
        </w:tc>
        <w:tc>
          <w:tcPr>
            <w:tcW w:w="3366" w:type="dxa"/>
          </w:tcPr>
          <w:p w14:paraId="2C3BF860" w14:textId="38E14FBD" w:rsidR="00C36E88" w:rsidRDefault="00BE55FD">
            <w:r w:rsidRPr="00BE55FD">
              <w:t>07753 137423</w:t>
            </w:r>
          </w:p>
        </w:tc>
        <w:tc>
          <w:tcPr>
            <w:tcW w:w="3563" w:type="dxa"/>
          </w:tcPr>
          <w:p w14:paraId="13B44FC6" w14:textId="77BA8F90" w:rsidR="00C36E88" w:rsidRDefault="00BE55FD">
            <w:r>
              <w:t>Charlotte.rider@dllgroup.com</w:t>
            </w:r>
          </w:p>
        </w:tc>
      </w:tr>
    </w:tbl>
    <w:p w14:paraId="26D1D430" w14:textId="24B82F3B" w:rsidR="00C36E88" w:rsidRDefault="00CA6067">
      <w:pPr>
        <w:pStyle w:val="Heading2"/>
      </w:pPr>
      <w:r>
        <w:t>Features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2880"/>
        <w:gridCol w:w="7434"/>
      </w:tblGrid>
      <w:tr w:rsidR="00BE55FD" w14:paraId="3D3DD0FC" w14:textId="77777777" w:rsidTr="00BE55FD">
        <w:tc>
          <w:tcPr>
            <w:tcW w:w="2880" w:type="dxa"/>
          </w:tcPr>
          <w:p w14:paraId="5AC5F20E" w14:textId="77777777" w:rsidR="00BE55FD" w:rsidRDefault="00BE55FD">
            <w:r>
              <w:rPr>
                <w:sz w:val="20"/>
              </w:rPr>
              <w:t>Features</w:t>
            </w:r>
          </w:p>
        </w:tc>
        <w:tc>
          <w:tcPr>
            <w:tcW w:w="7434" w:type="dxa"/>
          </w:tcPr>
          <w:p w14:paraId="76E3DAE6" w14:textId="77777777" w:rsidR="00BE55FD" w:rsidRDefault="00BE55FD">
            <w:r>
              <w:rPr>
                <w:sz w:val="20"/>
              </w:rPr>
              <w:t>Benefits</w:t>
            </w:r>
          </w:p>
        </w:tc>
      </w:tr>
      <w:tr w:rsidR="00BE55FD" w14:paraId="1A25BE97" w14:textId="77777777" w:rsidTr="00BE55FD">
        <w:tc>
          <w:tcPr>
            <w:tcW w:w="2880" w:type="dxa"/>
          </w:tcPr>
          <w:p w14:paraId="07871EA1" w14:textId="664C2D4B" w:rsidR="00BE55FD" w:rsidRDefault="00BE55FD">
            <w:r>
              <w:t>Hire Purchase</w:t>
            </w:r>
          </w:p>
        </w:tc>
        <w:tc>
          <w:tcPr>
            <w:tcW w:w="7434" w:type="dxa"/>
          </w:tcPr>
          <w:p w14:paraId="65AEBA1D" w14:textId="6D264D17" w:rsidR="00BE55FD" w:rsidRDefault="00BE55FD">
            <w:r>
              <w:t>T</w:t>
            </w:r>
            <w:r w:rsidRPr="00BE55FD">
              <w:t>erms ranging from 24 to 84 months • Flexible deposit requirements, with a minimum of Profile 1+ or a percentage-based deposit. • Option to defer VAT payments for up to three months • Hire Purchase (HP) agreements available with a balloon payment, subject to DLL’s asset valuation guidelines.</w:t>
            </w:r>
          </w:p>
        </w:tc>
      </w:tr>
      <w:tr w:rsidR="00BE55FD" w14:paraId="7BC4B1E0" w14:textId="77777777" w:rsidTr="00BE55FD">
        <w:tc>
          <w:tcPr>
            <w:tcW w:w="2880" w:type="dxa"/>
          </w:tcPr>
          <w:p w14:paraId="350D75E8" w14:textId="020372F5" w:rsidR="00BE55FD" w:rsidRDefault="00BE55FD">
            <w:r w:rsidRPr="00BE55FD">
              <w:t>Finance Lease (FL</w:t>
            </w:r>
            <w:r>
              <w:t>)</w:t>
            </w:r>
          </w:p>
        </w:tc>
        <w:tc>
          <w:tcPr>
            <w:tcW w:w="7434" w:type="dxa"/>
          </w:tcPr>
          <w:p w14:paraId="607110F5" w14:textId="52C7D7B6" w:rsidR="00BE55FD" w:rsidRDefault="00BE55FD">
            <w:r w:rsidRPr="00BE55FD">
              <w:t>Terms ranging from 24 to 84 months • Available with balloon payment, subject to DLL’s asset valuation guidelines • 95% Sales proceeds</w:t>
            </w:r>
          </w:p>
        </w:tc>
      </w:tr>
      <w:tr w:rsidR="00BE55FD" w14:paraId="6F37CEF8" w14:textId="77777777" w:rsidTr="00BE55FD">
        <w:tc>
          <w:tcPr>
            <w:tcW w:w="2880" w:type="dxa"/>
          </w:tcPr>
          <w:p w14:paraId="43E8D8E2" w14:textId="296D4554" w:rsidR="00BE55FD" w:rsidRDefault="00BE55FD">
            <w:r w:rsidRPr="00BE55FD">
              <w:t>Fair Market Value Lease (FMV</w:t>
            </w:r>
            <w:r>
              <w:t>)</w:t>
            </w:r>
          </w:p>
        </w:tc>
        <w:tc>
          <w:tcPr>
            <w:tcW w:w="7434" w:type="dxa"/>
          </w:tcPr>
          <w:p w14:paraId="56D52F57" w14:textId="40708FA4" w:rsidR="00BE55FD" w:rsidRDefault="00BE55FD">
            <w:r w:rsidRPr="00BE55FD">
              <w:t>Terms ranging from 24 to 84 months • DLL’s RV or buyback options</w:t>
            </w:r>
          </w:p>
        </w:tc>
      </w:tr>
      <w:tr w:rsidR="00BE55FD" w14:paraId="7927858B" w14:textId="77777777" w:rsidTr="00BE55FD">
        <w:tc>
          <w:tcPr>
            <w:tcW w:w="2880" w:type="dxa"/>
          </w:tcPr>
          <w:p w14:paraId="4B0BF1AF" w14:textId="6120F17A" w:rsidR="00BE55FD" w:rsidRDefault="00BE55FD">
            <w:r w:rsidRPr="00BE55FD">
              <w:t>Contract Hire (CH)</w:t>
            </w:r>
          </w:p>
        </w:tc>
        <w:tc>
          <w:tcPr>
            <w:tcW w:w="7434" w:type="dxa"/>
          </w:tcPr>
          <w:p w14:paraId="2443AE80" w14:textId="24898129" w:rsidR="00BE55FD" w:rsidRDefault="00BE55FD">
            <w:r w:rsidRPr="00BE55FD">
              <w:t xml:space="preserve">Terms ranging from 24 to 84 months • DLL’s RV or buyback options • DLL handles Billing and Collection (subject to supplier </w:t>
            </w:r>
            <w:proofErr w:type="gramStart"/>
            <w:r w:rsidRPr="00BE55FD">
              <w:t>approvals) •</w:t>
            </w:r>
            <w:proofErr w:type="gramEnd"/>
            <w:r w:rsidRPr="00BE55FD">
              <w:t xml:space="preserve"> Consideration for opportunities exceeding £250,000</w:t>
            </w:r>
          </w:p>
        </w:tc>
      </w:tr>
      <w:tr w:rsidR="00BE55FD" w14:paraId="5B15CF81" w14:textId="77777777" w:rsidTr="00BE55FD">
        <w:tc>
          <w:tcPr>
            <w:tcW w:w="2880" w:type="dxa"/>
          </w:tcPr>
          <w:p w14:paraId="7C3B13CA" w14:textId="00932731" w:rsidR="00BE55FD" w:rsidRDefault="00BE55FD" w:rsidP="00BE55FD">
            <w:r w:rsidRPr="00BE55FD">
              <w:t>Sale and HP/FL/Lease back</w:t>
            </w:r>
          </w:p>
        </w:tc>
        <w:tc>
          <w:tcPr>
            <w:tcW w:w="7434" w:type="dxa"/>
          </w:tcPr>
          <w:p w14:paraId="0173149D" w14:textId="1B7E51A8" w:rsidR="00BE55FD" w:rsidRDefault="00BE55FD" w:rsidP="00BE55FD">
            <w:r w:rsidRPr="00BE55FD">
              <w:t>Each deal is assessed individually • The minimum transaction size considered is £50,000 • This facility is designed to expedite the acquisition of equipment, particularly when phased payments are necessary or when purchasing from abroad • Assistance is not available for customers based in Scotland • Invoices presented must not exceed 90 days in age • Waivers for debentures on floating charges are required</w:t>
            </w:r>
          </w:p>
        </w:tc>
      </w:tr>
    </w:tbl>
    <w:p w14:paraId="0EC71AC3" w14:textId="77777777" w:rsidR="00BE55FD" w:rsidRDefault="00BE55FD">
      <w:pPr>
        <w:pStyle w:val="Heading2"/>
      </w:pPr>
    </w:p>
    <w:p w14:paraId="6EC67EFF" w14:textId="29E3224D" w:rsidR="00C36E88" w:rsidRDefault="00CA6067">
      <w:pPr>
        <w:pStyle w:val="Heading2"/>
      </w:pPr>
      <w:r>
        <w:t xml:space="preserve">Assets </w:t>
      </w:r>
      <w:r w:rsidR="00BE55FD">
        <w:t>DLL can support:</w:t>
      </w: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5139"/>
        <w:gridCol w:w="5139"/>
      </w:tblGrid>
      <w:tr w:rsidR="00C36E88" w14:paraId="7D4F2344" w14:textId="77777777" w:rsidTr="00BE55FD">
        <w:trPr>
          <w:trHeight w:val="1193"/>
        </w:trPr>
        <w:tc>
          <w:tcPr>
            <w:tcW w:w="5139" w:type="dxa"/>
          </w:tcPr>
          <w:p w14:paraId="5002F57F" w14:textId="7AC3ADE9" w:rsidR="00C36E88" w:rsidRDefault="00BE55FD">
            <w:r>
              <w:rPr>
                <w:sz w:val="20"/>
              </w:rPr>
              <w:t>Construction</w:t>
            </w:r>
          </w:p>
        </w:tc>
        <w:tc>
          <w:tcPr>
            <w:tcW w:w="5139" w:type="dxa"/>
          </w:tcPr>
          <w:p w14:paraId="1C90E287" w14:textId="75E857E1" w:rsidR="00C36E88" w:rsidRDefault="00BE55FD">
            <w:r w:rsidRPr="00BE55FD">
              <w:rPr>
                <w:sz w:val="20"/>
              </w:rPr>
              <w:t xml:space="preserve">Excavators • Loaders (wheeled and </w:t>
            </w:r>
            <w:proofErr w:type="gramStart"/>
            <w:r w:rsidRPr="00BE55FD">
              <w:rPr>
                <w:sz w:val="20"/>
              </w:rPr>
              <w:t>backhoe) •</w:t>
            </w:r>
            <w:proofErr w:type="gramEnd"/>
            <w:r w:rsidRPr="00BE55FD">
              <w:rPr>
                <w:sz w:val="20"/>
              </w:rPr>
              <w:t xml:space="preserve"> Dumpers (</w:t>
            </w:r>
            <w:proofErr w:type="gramStart"/>
            <w:r w:rsidRPr="00BE55FD">
              <w:rPr>
                <w:sz w:val="20"/>
              </w:rPr>
              <w:t>articulated) •</w:t>
            </w:r>
            <w:proofErr w:type="gramEnd"/>
            <w:r w:rsidRPr="00BE55FD">
              <w:rPr>
                <w:sz w:val="20"/>
              </w:rPr>
              <w:t xml:space="preserve"> Cranes (mobile </w:t>
            </w:r>
            <w:proofErr w:type="gramStart"/>
            <w:r w:rsidRPr="00BE55FD">
              <w:rPr>
                <w:sz w:val="20"/>
              </w:rPr>
              <w:t>only) •</w:t>
            </w:r>
            <w:proofErr w:type="gramEnd"/>
            <w:r w:rsidRPr="00BE55FD">
              <w:rPr>
                <w:sz w:val="20"/>
              </w:rPr>
              <w:t xml:space="preserve"> Waste Management (crusher/</w:t>
            </w:r>
            <w:proofErr w:type="gramStart"/>
            <w:r w:rsidRPr="00BE55FD">
              <w:rPr>
                <w:sz w:val="20"/>
              </w:rPr>
              <w:t>screeners) •</w:t>
            </w:r>
            <w:proofErr w:type="gramEnd"/>
            <w:r w:rsidRPr="00BE55FD">
              <w:rPr>
                <w:sz w:val="20"/>
              </w:rPr>
              <w:t xml:space="preserve"> Aerial Work Platforms • Forklifts (diesel and electric)</w:t>
            </w:r>
          </w:p>
        </w:tc>
      </w:tr>
      <w:tr w:rsidR="00C36E88" w14:paraId="626E0674" w14:textId="77777777" w:rsidTr="00BE55FD">
        <w:trPr>
          <w:trHeight w:val="265"/>
        </w:trPr>
        <w:tc>
          <w:tcPr>
            <w:tcW w:w="5139" w:type="dxa"/>
          </w:tcPr>
          <w:p w14:paraId="6008D9D1" w14:textId="0438532C" w:rsidR="00C36E88" w:rsidRDefault="00BE55FD">
            <w:r w:rsidRPr="00BE55FD">
              <w:t>Transportation</w:t>
            </w:r>
          </w:p>
        </w:tc>
        <w:tc>
          <w:tcPr>
            <w:tcW w:w="5139" w:type="dxa"/>
          </w:tcPr>
          <w:p w14:paraId="4E991957" w14:textId="2C07F66D" w:rsidR="00C36E88" w:rsidRDefault="00BE55FD">
            <w:r w:rsidRPr="00BE55FD">
              <w:t xml:space="preserve">Light Commercial Vehicles including electric (less than 3 years old at start of term, no more than 6 years at end) • HGV’s (3.5T Upwards) • Tippers • Trailers (Semi </w:t>
            </w:r>
            <w:proofErr w:type="spellStart"/>
            <w:r w:rsidRPr="00BE55FD">
              <w:t>curtainsiders</w:t>
            </w:r>
            <w:proofErr w:type="spellEnd"/>
            <w:r w:rsidRPr="00BE55FD">
              <w:t xml:space="preserve">, Reefer, Flatbed </w:t>
            </w:r>
            <w:proofErr w:type="spellStart"/>
            <w:r w:rsidRPr="00BE55FD">
              <w:t>etc</w:t>
            </w:r>
            <w:proofErr w:type="spellEnd"/>
            <w:r w:rsidRPr="00BE55FD">
              <w:t xml:space="preserve">, excluding transportation of </w:t>
            </w:r>
            <w:proofErr w:type="spellStart"/>
            <w:r w:rsidRPr="00BE55FD">
              <w:t>hazadous</w:t>
            </w:r>
            <w:proofErr w:type="spellEnd"/>
            <w:r w:rsidRPr="00BE55FD">
              <w:t>/</w:t>
            </w:r>
            <w:proofErr w:type="spellStart"/>
            <w:r w:rsidRPr="00BE55FD">
              <w:t>flamable</w:t>
            </w:r>
            <w:proofErr w:type="spellEnd"/>
            <w:r w:rsidRPr="00BE55FD">
              <w:t xml:space="preserve"> goods) • Buses/Coaches</w:t>
            </w:r>
          </w:p>
        </w:tc>
      </w:tr>
      <w:tr w:rsidR="00C36E88" w14:paraId="3320BBBF" w14:textId="77777777" w:rsidTr="00BE55FD">
        <w:trPr>
          <w:trHeight w:val="265"/>
        </w:trPr>
        <w:tc>
          <w:tcPr>
            <w:tcW w:w="5139" w:type="dxa"/>
          </w:tcPr>
          <w:p w14:paraId="31FA86E7" w14:textId="6D19D971" w:rsidR="00C36E88" w:rsidRDefault="00BE55FD">
            <w:r w:rsidRPr="00BE55FD">
              <w:t>Machine Tools</w:t>
            </w:r>
          </w:p>
        </w:tc>
        <w:tc>
          <w:tcPr>
            <w:tcW w:w="5139" w:type="dxa"/>
          </w:tcPr>
          <w:p w14:paraId="731621EF" w14:textId="5BB3490E" w:rsidR="00C36E88" w:rsidRDefault="00BE55FD">
            <w:r w:rsidRPr="00BE55FD">
              <w:t>CNC, laser cutters, lathes, etc</w:t>
            </w:r>
          </w:p>
        </w:tc>
      </w:tr>
      <w:tr w:rsidR="00C36E88" w14:paraId="6415B227" w14:textId="77777777" w:rsidTr="00BE55FD">
        <w:trPr>
          <w:trHeight w:val="265"/>
        </w:trPr>
        <w:tc>
          <w:tcPr>
            <w:tcW w:w="5139" w:type="dxa"/>
          </w:tcPr>
          <w:p w14:paraId="09CF53D9" w14:textId="5F03FB9A" w:rsidR="00C36E88" w:rsidRDefault="00BE55FD">
            <w:r w:rsidRPr="00BE55FD">
              <w:t>Engineering equipment</w:t>
            </w:r>
          </w:p>
        </w:tc>
        <w:tc>
          <w:tcPr>
            <w:tcW w:w="5139" w:type="dxa"/>
          </w:tcPr>
          <w:p w14:paraId="71D06DEB" w14:textId="77777777" w:rsidR="00BE55FD" w:rsidRDefault="00BE55FD"/>
        </w:tc>
      </w:tr>
      <w:tr w:rsidR="00BE55FD" w14:paraId="33CF5A25" w14:textId="77777777" w:rsidTr="00BE55FD">
        <w:trPr>
          <w:trHeight w:val="265"/>
        </w:trPr>
        <w:tc>
          <w:tcPr>
            <w:tcW w:w="5139" w:type="dxa"/>
          </w:tcPr>
          <w:p w14:paraId="08C945DB" w14:textId="29E26D29" w:rsidR="00BE55FD" w:rsidRPr="00BE55FD" w:rsidRDefault="00BE55FD">
            <w:r w:rsidRPr="00BE55FD">
              <w:t>Renewables (solar)</w:t>
            </w:r>
          </w:p>
        </w:tc>
        <w:tc>
          <w:tcPr>
            <w:tcW w:w="5139" w:type="dxa"/>
          </w:tcPr>
          <w:p w14:paraId="2C898C12" w14:textId="77777777" w:rsidR="00BE55FD" w:rsidRDefault="00BE55FD"/>
        </w:tc>
      </w:tr>
    </w:tbl>
    <w:p w14:paraId="008960DA" w14:textId="2401B45A" w:rsidR="00BE55FD" w:rsidRDefault="00BE55FD" w:rsidP="00BE55FD">
      <w:pPr>
        <w:pStyle w:val="Heading2"/>
      </w:pPr>
      <w:r>
        <w:t>Assets</w:t>
      </w:r>
      <w:r>
        <w:t xml:space="preserve">/products </w:t>
      </w:r>
      <w:r>
        <w:t xml:space="preserve">DLL </w:t>
      </w:r>
      <w:proofErr w:type="gramStart"/>
      <w:r>
        <w:t>are not able to</w:t>
      </w:r>
      <w:proofErr w:type="gramEnd"/>
      <w:r>
        <w:t xml:space="preserve"> support:</w:t>
      </w:r>
    </w:p>
    <w:tbl>
      <w:tblPr>
        <w:tblStyle w:val="TableGrid"/>
        <w:tblW w:w="5139" w:type="dxa"/>
        <w:tblLook w:val="04A0" w:firstRow="1" w:lastRow="0" w:firstColumn="1" w:lastColumn="0" w:noHBand="0" w:noVBand="1"/>
      </w:tblPr>
      <w:tblGrid>
        <w:gridCol w:w="5139"/>
      </w:tblGrid>
      <w:tr w:rsidR="00BE55FD" w14:paraId="05FFC3E5" w14:textId="77777777" w:rsidTr="00BE55FD">
        <w:trPr>
          <w:trHeight w:val="265"/>
        </w:trPr>
        <w:tc>
          <w:tcPr>
            <w:tcW w:w="5139" w:type="dxa"/>
          </w:tcPr>
          <w:p w14:paraId="79466FA2" w14:textId="03BCD09F" w:rsidR="00BE55FD" w:rsidRDefault="00BE55FD" w:rsidP="00502261">
            <w:r>
              <w:t>Any v</w:t>
            </w:r>
            <w:r w:rsidRPr="00BE55FD">
              <w:t>ehicles and assets for personal use</w:t>
            </w:r>
          </w:p>
        </w:tc>
      </w:tr>
      <w:tr w:rsidR="00BE55FD" w14:paraId="2560F4E5" w14:textId="77777777" w:rsidTr="00BE55FD">
        <w:trPr>
          <w:trHeight w:val="265"/>
        </w:trPr>
        <w:tc>
          <w:tcPr>
            <w:tcW w:w="5139" w:type="dxa"/>
          </w:tcPr>
          <w:p w14:paraId="400ACCC2" w14:textId="195B300F" w:rsidR="00BE55FD" w:rsidRDefault="00BE55FD" w:rsidP="00502261">
            <w:r w:rsidRPr="00BE55FD">
              <w:t>End user to end user transactions</w:t>
            </w:r>
          </w:p>
        </w:tc>
      </w:tr>
      <w:tr w:rsidR="00BE55FD" w14:paraId="6F03B7B6" w14:textId="77777777" w:rsidTr="00BE55FD">
        <w:trPr>
          <w:trHeight w:val="265"/>
        </w:trPr>
        <w:tc>
          <w:tcPr>
            <w:tcW w:w="5139" w:type="dxa"/>
          </w:tcPr>
          <w:p w14:paraId="139FC5BE" w14:textId="64BDF88C" w:rsidR="00BE55FD" w:rsidRPr="00BE55FD" w:rsidRDefault="00BE55FD" w:rsidP="00502261">
            <w:r w:rsidRPr="00BE55FD">
              <w:t>Refinancing for capital raising</w:t>
            </w:r>
          </w:p>
        </w:tc>
      </w:tr>
      <w:tr w:rsidR="009B544C" w:rsidRPr="00BE55FD" w14:paraId="69F368B0" w14:textId="77777777" w:rsidTr="009B544C">
        <w:trPr>
          <w:trHeight w:val="265"/>
        </w:trPr>
        <w:tc>
          <w:tcPr>
            <w:tcW w:w="5139" w:type="dxa"/>
          </w:tcPr>
          <w:p w14:paraId="002A1850" w14:textId="267DED30" w:rsidR="009B544C" w:rsidRPr="00BE55FD" w:rsidRDefault="009B544C" w:rsidP="00502261">
            <w:r>
              <w:t>Regulated pricing</w:t>
            </w:r>
          </w:p>
        </w:tc>
      </w:tr>
    </w:tbl>
    <w:p w14:paraId="469966E5" w14:textId="464CFCFA" w:rsidR="00BE55FD" w:rsidRDefault="00BE55FD" w:rsidP="00BE55FD">
      <w:pPr>
        <w:pStyle w:val="Heading2"/>
      </w:pPr>
      <w:r>
        <w:t>A</w:t>
      </w:r>
      <w:r>
        <w:t>dditional requirements:</w:t>
      </w: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5139"/>
        <w:gridCol w:w="5139"/>
      </w:tblGrid>
      <w:tr w:rsidR="00BE55FD" w14:paraId="61F60B43" w14:textId="77777777" w:rsidTr="00502261">
        <w:trPr>
          <w:trHeight w:val="265"/>
        </w:trPr>
        <w:tc>
          <w:tcPr>
            <w:tcW w:w="5139" w:type="dxa"/>
          </w:tcPr>
          <w:p w14:paraId="44656A3E" w14:textId="5DB79067" w:rsidR="00BE55FD" w:rsidRDefault="00BE55FD" w:rsidP="00502261">
            <w:r>
              <w:t>Insurance</w:t>
            </w:r>
            <w:r w:rsidR="009B544C">
              <w:t xml:space="preserve"> required for </w:t>
            </w:r>
            <w:proofErr w:type="spellStart"/>
            <w:r w:rsidR="009B544C">
              <w:t>non road</w:t>
            </w:r>
            <w:proofErr w:type="spellEnd"/>
            <w:r w:rsidR="009B544C">
              <w:t xml:space="preserve"> going assets</w:t>
            </w:r>
          </w:p>
        </w:tc>
        <w:tc>
          <w:tcPr>
            <w:tcW w:w="5139" w:type="dxa"/>
          </w:tcPr>
          <w:p w14:paraId="01A99642" w14:textId="199CB03B" w:rsidR="00BE55FD" w:rsidRDefault="00BE55FD" w:rsidP="00502261">
            <w:r w:rsidRPr="00BE55FD">
              <w:t>Our Terms and Conditions require that assets be insured for the entire term of the agreement. • DLL has determined that all road-going assets must have insurance before being released by the dealership, therefore negating the need for additional insurance coverage for financed LCVs, HGVs, and trailers. • An exception is made when assets are sublet; in such cases, DLL assumes that the underlying hire agreement includes insurance coverage.</w:t>
            </w:r>
          </w:p>
        </w:tc>
      </w:tr>
      <w:tr w:rsidR="00BE55FD" w14:paraId="60877780" w14:textId="77777777" w:rsidTr="00502261">
        <w:trPr>
          <w:trHeight w:val="265"/>
        </w:trPr>
        <w:tc>
          <w:tcPr>
            <w:tcW w:w="5139" w:type="dxa"/>
          </w:tcPr>
          <w:p w14:paraId="371AE667" w14:textId="5D35042D" w:rsidR="00BE55FD" w:rsidRDefault="00BE55FD" w:rsidP="00502261">
            <w:r w:rsidRPr="00BE55FD">
              <w:t>The minimum transaction value is set at £10,000.</w:t>
            </w:r>
          </w:p>
        </w:tc>
        <w:tc>
          <w:tcPr>
            <w:tcW w:w="5139" w:type="dxa"/>
          </w:tcPr>
          <w:p w14:paraId="1E05D34A" w14:textId="77777777" w:rsidR="00BE55FD" w:rsidRDefault="00BE55FD" w:rsidP="00502261"/>
        </w:tc>
      </w:tr>
      <w:tr w:rsidR="00BE55FD" w14:paraId="56A80306" w14:textId="77777777" w:rsidTr="00502261">
        <w:trPr>
          <w:trHeight w:val="265"/>
        </w:trPr>
        <w:tc>
          <w:tcPr>
            <w:tcW w:w="5139" w:type="dxa"/>
          </w:tcPr>
          <w:p w14:paraId="48005D7D" w14:textId="0B25DC0B" w:rsidR="00BE55FD" w:rsidRPr="00BE55FD" w:rsidRDefault="00BE55FD" w:rsidP="00502261">
            <w:proofErr w:type="gramStart"/>
            <w:r>
              <w:t>Customers</w:t>
            </w:r>
            <w:proofErr w:type="gramEnd"/>
            <w:r w:rsidRPr="00BE55FD">
              <w:t xml:space="preserve"> financial statements must demonstrate shareholder funds that exceed the amount of the advance.</w:t>
            </w:r>
          </w:p>
        </w:tc>
        <w:tc>
          <w:tcPr>
            <w:tcW w:w="5139" w:type="dxa"/>
          </w:tcPr>
          <w:p w14:paraId="69E1B6EB" w14:textId="77777777" w:rsidR="00BE55FD" w:rsidRDefault="00BE55FD" w:rsidP="00502261"/>
          <w:p w14:paraId="311C5475" w14:textId="77777777" w:rsidR="00BE55FD" w:rsidRDefault="00BE55FD" w:rsidP="00502261"/>
          <w:p w14:paraId="510F6524" w14:textId="77777777" w:rsidR="00BE55FD" w:rsidRDefault="00BE55FD" w:rsidP="00502261"/>
        </w:tc>
      </w:tr>
      <w:tr w:rsidR="00BE55FD" w14:paraId="4EFE7EB3" w14:textId="77777777" w:rsidTr="00BE55FD">
        <w:trPr>
          <w:trHeight w:val="265"/>
        </w:trPr>
        <w:tc>
          <w:tcPr>
            <w:tcW w:w="5139" w:type="dxa"/>
          </w:tcPr>
          <w:p w14:paraId="4E5A194F" w14:textId="0461B0D8" w:rsidR="00BE55FD" w:rsidRDefault="00BE55FD" w:rsidP="00502261">
            <w:r w:rsidRPr="00BE55FD">
              <w:t xml:space="preserve">Suppliers need to be </w:t>
            </w:r>
            <w:proofErr w:type="spellStart"/>
            <w:r w:rsidRPr="00BE55FD">
              <w:t>bonafide</w:t>
            </w:r>
            <w:proofErr w:type="spellEnd"/>
            <w:r w:rsidRPr="00BE55FD">
              <w:t>, registered in the UK, and must have approval from DLL at the proposal stage.</w:t>
            </w:r>
          </w:p>
        </w:tc>
        <w:tc>
          <w:tcPr>
            <w:tcW w:w="5139" w:type="dxa"/>
          </w:tcPr>
          <w:p w14:paraId="7189D007" w14:textId="77777777" w:rsidR="00BE55FD" w:rsidRDefault="00BE55FD" w:rsidP="00502261"/>
        </w:tc>
      </w:tr>
      <w:tr w:rsidR="009B544C" w14:paraId="62D4469D" w14:textId="77777777" w:rsidTr="009B544C">
        <w:trPr>
          <w:trHeight w:val="265"/>
        </w:trPr>
        <w:tc>
          <w:tcPr>
            <w:tcW w:w="5139" w:type="dxa"/>
          </w:tcPr>
          <w:p w14:paraId="4802A9C6" w14:textId="1D6E2E14" w:rsidR="009B544C" w:rsidRDefault="009B544C" w:rsidP="00502261">
            <w:r w:rsidRPr="009B544C">
              <w:t>If the asset is to be rented out, a sub-hire agreement is needed</w:t>
            </w:r>
            <w:r>
              <w:t>.</w:t>
            </w:r>
          </w:p>
        </w:tc>
        <w:tc>
          <w:tcPr>
            <w:tcW w:w="5139" w:type="dxa"/>
          </w:tcPr>
          <w:p w14:paraId="2937F58F" w14:textId="77777777" w:rsidR="009B544C" w:rsidRDefault="009B544C" w:rsidP="00502261"/>
        </w:tc>
      </w:tr>
      <w:tr w:rsidR="009B544C" w14:paraId="340961AB" w14:textId="77777777" w:rsidTr="009B544C">
        <w:trPr>
          <w:trHeight w:val="265"/>
        </w:trPr>
        <w:tc>
          <w:tcPr>
            <w:tcW w:w="5139" w:type="dxa"/>
          </w:tcPr>
          <w:p w14:paraId="04A5E2CF" w14:textId="38DD7C9C" w:rsidR="009B544C" w:rsidRDefault="009B544C" w:rsidP="00502261">
            <w:r>
              <w:t>Valid ID for the signatory is required on all deals</w:t>
            </w:r>
          </w:p>
        </w:tc>
        <w:tc>
          <w:tcPr>
            <w:tcW w:w="5139" w:type="dxa"/>
          </w:tcPr>
          <w:p w14:paraId="6AFAD6A5" w14:textId="77777777" w:rsidR="009B544C" w:rsidRDefault="009B544C" w:rsidP="00502261"/>
        </w:tc>
      </w:tr>
    </w:tbl>
    <w:p w14:paraId="0B2B4267" w14:textId="16BF30DD" w:rsidR="009B544C" w:rsidRDefault="009B544C"/>
    <w:p w14:paraId="1AC3631E" w14:textId="3DF1687A" w:rsidR="009B544C" w:rsidRPr="009B544C" w:rsidRDefault="009B544C" w:rsidP="009B544C">
      <w:pPr>
        <w:rPr>
          <w:b/>
          <w:bCs/>
        </w:rPr>
      </w:pPr>
      <w:r w:rsidRPr="009B544C">
        <w:rPr>
          <w:b/>
          <w:bCs/>
        </w:rPr>
        <w:t xml:space="preserve">Rate card is provided each </w:t>
      </w:r>
      <w:proofErr w:type="gramStart"/>
      <w:r w:rsidRPr="009B544C">
        <w:rPr>
          <w:b/>
          <w:bCs/>
        </w:rPr>
        <w:t>month</w:t>
      </w:r>
      <w:proofErr w:type="gramEnd"/>
      <w:r w:rsidRPr="009B544C">
        <w:rPr>
          <w:b/>
          <w:bCs/>
        </w:rPr>
        <w:t xml:space="preserve"> and commission is max 5% of the advance.</w:t>
      </w:r>
    </w:p>
    <w:p w14:paraId="042D7109" w14:textId="77777777" w:rsidR="009B544C" w:rsidRDefault="009B544C" w:rsidP="009B544C"/>
    <w:sectPr w:rsidR="009B544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51D30"/>
    <w:rsid w:val="009B544C"/>
    <w:rsid w:val="009B77C6"/>
    <w:rsid w:val="00AA1D8D"/>
    <w:rsid w:val="00B4228E"/>
    <w:rsid w:val="00B47730"/>
    <w:rsid w:val="00BE55FD"/>
    <w:rsid w:val="00C36E88"/>
    <w:rsid w:val="00CB0664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486</Words>
  <Characters>2773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Rider, C (Charlotte)</cp:lastModifiedBy>
  <cp:revision>2</cp:revision>
  <dcterms:created xsi:type="dcterms:W3CDTF">2026-04-17T08:53:00Z</dcterms:created>
  <dcterms:modified xsi:type="dcterms:W3CDTF">2026-04-17T08:53:00Z</dcterms:modified>
  <cp:category/>
</cp:coreProperties>
</file>